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0F15" w:rsidRDefault="00AB0F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ООО «                         »</w:t>
      </w:r>
    </w:p>
    <w:p w:rsidR="00376A17" w:rsidRDefault="00B658A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№2</w:t>
      </w:r>
      <w:r w:rsidR="00064541">
        <w:rPr>
          <w:b/>
          <w:sz w:val="26"/>
          <w:szCs w:val="26"/>
        </w:rPr>
        <w:t xml:space="preserve"> к Договору № </w:t>
      </w:r>
      <w:r w:rsidR="00AB0F15">
        <w:rPr>
          <w:b/>
          <w:sz w:val="26"/>
          <w:szCs w:val="26"/>
        </w:rPr>
        <w:t xml:space="preserve">    от                      2016 г.</w:t>
      </w:r>
    </w:p>
    <w:p w:rsidR="00853742" w:rsidRDefault="00853742">
      <w:pPr>
        <w:jc w:val="both"/>
        <w:rPr>
          <w:b/>
          <w:sz w:val="26"/>
          <w:szCs w:val="26"/>
        </w:rPr>
      </w:pPr>
    </w:p>
    <w:p w:rsidR="00376A17" w:rsidRDefault="00B658A1" w:rsidP="00853742">
      <w:pPr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Инструкция по эксплуатации вертикальных жалюзи</w:t>
      </w:r>
    </w:p>
    <w:p w:rsidR="00376A17" w:rsidRDefault="00376A17">
      <w:pPr>
        <w:jc w:val="both"/>
        <w:rPr>
          <w:b/>
          <w:sz w:val="26"/>
          <w:szCs w:val="26"/>
        </w:rPr>
      </w:pPr>
    </w:p>
    <w:p w:rsidR="00376A17" w:rsidRDefault="00B658A1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Основными конструктивными элементами  вертикальных жалюзи являются: карниз алюминиевый в сборе, ламели вертикальных жалюзи.</w:t>
      </w:r>
    </w:p>
    <w:p w:rsidR="00376A17" w:rsidRDefault="00376A17">
      <w:pPr>
        <w:tabs>
          <w:tab w:val="left" w:pos="1440"/>
        </w:tabs>
        <w:ind w:left="720"/>
        <w:rPr>
          <w:sz w:val="22"/>
          <w:szCs w:val="22"/>
        </w:rPr>
      </w:pPr>
    </w:p>
    <w:p w:rsidR="00376A17" w:rsidRDefault="00B658A1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Управление ламелей вертикальных жалюзи осуществляется с помощью цепи управления.</w:t>
      </w:r>
    </w:p>
    <w:p w:rsidR="00376A17" w:rsidRDefault="00376A17">
      <w:pPr>
        <w:tabs>
          <w:tab w:val="left" w:pos="1440"/>
        </w:tabs>
        <w:ind w:left="720"/>
        <w:rPr>
          <w:sz w:val="22"/>
          <w:szCs w:val="22"/>
        </w:rPr>
      </w:pPr>
    </w:p>
    <w:p w:rsidR="00376A17" w:rsidRDefault="00B658A1">
      <w:pPr>
        <w:pStyle w:val="a6"/>
        <w:numPr>
          <w:ilvl w:val="0"/>
          <w:numId w:val="1"/>
        </w:numPr>
        <w:tabs>
          <w:tab w:val="left" w:pos="720"/>
        </w:tabs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Изделие предназначено для эксплуатации только внутри помещений с относительной влажностью</w:t>
      </w:r>
    </w:p>
    <w:p w:rsidR="00376A17" w:rsidRDefault="00B658A1">
      <w:pPr>
        <w:pStyle w:val="a6"/>
        <w:numPr>
          <w:ilvl w:val="0"/>
          <w:numId w:val="1"/>
        </w:numPr>
        <w:tabs>
          <w:tab w:val="left" w:pos="720"/>
        </w:tabs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Жалюзи должны эксплуатироваться в условиях, исключающих контакт ламелей </w:t>
      </w:r>
      <w:proofErr w:type="spellStart"/>
      <w:r>
        <w:rPr>
          <w:color w:val="000000"/>
          <w:sz w:val="22"/>
          <w:szCs w:val="22"/>
        </w:rPr>
        <w:t>c</w:t>
      </w:r>
      <w:proofErr w:type="spellEnd"/>
      <w:r>
        <w:rPr>
          <w:color w:val="000000"/>
          <w:sz w:val="22"/>
          <w:szCs w:val="22"/>
        </w:rPr>
        <w:t xml:space="preserve"> окружающими предметами интерьера и любое другое механическое воздействие на них.</w:t>
      </w:r>
    </w:p>
    <w:p w:rsidR="00376A17" w:rsidRDefault="00376A17">
      <w:pPr>
        <w:pStyle w:val="a6"/>
        <w:tabs>
          <w:tab w:val="left" w:pos="1440"/>
        </w:tabs>
        <w:spacing w:after="0"/>
        <w:ind w:left="720"/>
        <w:rPr>
          <w:color w:val="000000"/>
          <w:sz w:val="22"/>
          <w:szCs w:val="22"/>
        </w:rPr>
      </w:pPr>
    </w:p>
    <w:p w:rsidR="00376A17" w:rsidRDefault="00B658A1">
      <w:pPr>
        <w:tabs>
          <w:tab w:val="left" w:pos="180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5. Цепь управления предназначена для разворота ламелей в вертикальной </w:t>
      </w:r>
      <w:proofErr w:type="spellStart"/>
      <w:r>
        <w:rPr>
          <w:sz w:val="22"/>
          <w:szCs w:val="22"/>
        </w:rPr>
        <w:t>плоскости</w:t>
      </w:r>
      <w:proofErr w:type="gramStart"/>
      <w:r>
        <w:rPr>
          <w:sz w:val="22"/>
          <w:szCs w:val="22"/>
        </w:rPr>
        <w:t>,п</w:t>
      </w:r>
      <w:proofErr w:type="gramEnd"/>
      <w:r>
        <w:rPr>
          <w:sz w:val="22"/>
          <w:szCs w:val="22"/>
        </w:rPr>
        <w:t>лавно</w:t>
      </w:r>
      <w:proofErr w:type="spellEnd"/>
      <w:r>
        <w:rPr>
          <w:sz w:val="22"/>
          <w:szCs w:val="22"/>
        </w:rPr>
        <w:t xml:space="preserve">          регулируя световой поток</w:t>
      </w:r>
    </w:p>
    <w:p w:rsidR="00376A17" w:rsidRDefault="00376A17">
      <w:pPr>
        <w:tabs>
          <w:tab w:val="left" w:pos="1800"/>
        </w:tabs>
        <w:ind w:left="360"/>
        <w:rPr>
          <w:sz w:val="22"/>
          <w:szCs w:val="22"/>
        </w:rPr>
      </w:pPr>
    </w:p>
    <w:p w:rsidR="00376A17" w:rsidRDefault="00B658A1">
      <w:pPr>
        <w:tabs>
          <w:tab w:val="left" w:pos="1800"/>
        </w:tabs>
        <w:ind w:left="360"/>
        <w:rPr>
          <w:sz w:val="22"/>
          <w:szCs w:val="22"/>
        </w:rPr>
      </w:pPr>
      <w:r>
        <w:rPr>
          <w:sz w:val="22"/>
          <w:szCs w:val="22"/>
        </w:rPr>
        <w:t>6.    Вертикальная нить с грузом предназначена для  сбора ламелей  вправо, влево или в разные стороны.</w:t>
      </w:r>
    </w:p>
    <w:p w:rsidR="00376A17" w:rsidRDefault="00B658A1">
      <w:pPr>
        <w:pStyle w:val="a6"/>
        <w:tabs>
          <w:tab w:val="left" w:pos="1800"/>
        </w:tabs>
        <w:spacing w:after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   Двигать ламели рекомендуется в открытом положении.</w:t>
      </w:r>
    </w:p>
    <w:p w:rsidR="00376A17" w:rsidRDefault="00376A17">
      <w:pPr>
        <w:pStyle w:val="a6"/>
        <w:tabs>
          <w:tab w:val="left" w:pos="1800"/>
        </w:tabs>
        <w:spacing w:after="0"/>
        <w:ind w:left="360"/>
        <w:jc w:val="both"/>
        <w:rPr>
          <w:color w:val="000000"/>
          <w:sz w:val="22"/>
          <w:szCs w:val="22"/>
        </w:rPr>
      </w:pPr>
    </w:p>
    <w:p w:rsidR="00376A17" w:rsidRDefault="00B658A1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Примечание</w:t>
      </w:r>
      <w:r>
        <w:rPr>
          <w:sz w:val="22"/>
          <w:szCs w:val="22"/>
        </w:rPr>
        <w:t>: если нужно собрать ламели с какой-либо стороны или раздвинуть, убедитесь в том, что ламели развернуты ребром к окну.</w:t>
      </w:r>
    </w:p>
    <w:p w:rsidR="00376A17" w:rsidRDefault="00376A17">
      <w:pPr>
        <w:tabs>
          <w:tab w:val="left" w:pos="0"/>
        </w:tabs>
        <w:jc w:val="both"/>
        <w:rPr>
          <w:sz w:val="22"/>
          <w:szCs w:val="22"/>
        </w:rPr>
      </w:pPr>
    </w:p>
    <w:p w:rsidR="00376A17" w:rsidRDefault="00B658A1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    8.    В процессе эксплуатации жалюзи </w:t>
      </w:r>
      <w:r>
        <w:rPr>
          <w:b/>
          <w:bCs/>
          <w:sz w:val="22"/>
          <w:szCs w:val="22"/>
        </w:rPr>
        <w:t>запрещается</w:t>
      </w:r>
      <w:r>
        <w:rPr>
          <w:sz w:val="22"/>
          <w:szCs w:val="22"/>
        </w:rPr>
        <w:t>:</w:t>
      </w:r>
    </w:p>
    <w:p w:rsidR="00376A17" w:rsidRDefault="00B658A1">
      <w:pPr>
        <w:numPr>
          <w:ilvl w:val="0"/>
          <w:numId w:val="5"/>
        </w:numPr>
        <w:tabs>
          <w:tab w:val="left" w:pos="1080"/>
          <w:tab w:val="left" w:pos="180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Препятствовать движению ламелей  руками, посторонними предметами;</w:t>
      </w:r>
    </w:p>
    <w:p w:rsidR="00376A17" w:rsidRDefault="00B658A1">
      <w:pPr>
        <w:pStyle w:val="a6"/>
        <w:numPr>
          <w:ilvl w:val="0"/>
          <w:numId w:val="5"/>
        </w:numPr>
        <w:tabs>
          <w:tab w:val="left" w:pos="1080"/>
          <w:tab w:val="left" w:pos="1800"/>
        </w:tabs>
        <w:spacing w:after="0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Резко поворачивать  и сдвигать  ламели.</w:t>
      </w:r>
    </w:p>
    <w:p w:rsidR="00376A17" w:rsidRDefault="00B658A1">
      <w:pPr>
        <w:numPr>
          <w:ilvl w:val="0"/>
          <w:numId w:val="5"/>
        </w:numPr>
        <w:tabs>
          <w:tab w:val="left" w:pos="1080"/>
          <w:tab w:val="left" w:pos="180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Эксплуатировать жалюзи при наличии видимых повреждений устройств управления.</w:t>
      </w:r>
    </w:p>
    <w:p w:rsidR="00376A17" w:rsidRDefault="00376A17">
      <w:pPr>
        <w:tabs>
          <w:tab w:val="left" w:pos="1800"/>
        </w:tabs>
        <w:ind w:left="360"/>
        <w:jc w:val="both"/>
        <w:rPr>
          <w:sz w:val="22"/>
          <w:szCs w:val="22"/>
        </w:rPr>
      </w:pPr>
    </w:p>
    <w:p w:rsidR="00376A17" w:rsidRDefault="00B658A1">
      <w:pPr>
        <w:tabs>
          <w:tab w:val="left" w:pos="18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9.   В случае нарушений в работе ваших жалюзи, в частности возникновения необычного шума или чего-либо, вызывающего беспокойство, прекратите использование жалюзи и обратитесь в сервисную службу.</w:t>
      </w:r>
    </w:p>
    <w:p w:rsidR="00376A17" w:rsidRDefault="00376A17">
      <w:pPr>
        <w:tabs>
          <w:tab w:val="left" w:pos="1800"/>
        </w:tabs>
        <w:ind w:left="360"/>
        <w:jc w:val="both"/>
        <w:rPr>
          <w:sz w:val="22"/>
          <w:szCs w:val="22"/>
        </w:rPr>
      </w:pPr>
    </w:p>
    <w:p w:rsidR="00376A17" w:rsidRDefault="00B658A1">
      <w:pPr>
        <w:tabs>
          <w:tab w:val="left" w:pos="18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Технический осмотр и ремонт жалюзи должны производиться только    квалифицированным техническим персоналом. </w:t>
      </w:r>
    </w:p>
    <w:p w:rsidR="00376A17" w:rsidRDefault="001C45A0">
      <w:pPr>
        <w:jc w:val="both"/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247650</wp:posOffset>
            </wp:positionV>
            <wp:extent cx="5522595" cy="2922270"/>
            <wp:effectExtent l="19050" t="0" r="190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5" cy="2922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A17" w:rsidRDefault="00376A17">
      <w:pPr>
        <w:jc w:val="both"/>
      </w:pPr>
    </w:p>
    <w:p w:rsidR="00376A17" w:rsidRDefault="00B658A1">
      <w:pPr>
        <w:pStyle w:val="a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Чистка тканевых вертикальных жалюзи.</w:t>
      </w:r>
    </w:p>
    <w:p w:rsidR="00376A17" w:rsidRDefault="00376A17">
      <w:pPr>
        <w:pStyle w:val="a6"/>
        <w:spacing w:after="0"/>
        <w:jc w:val="both"/>
        <w:rPr>
          <w:color w:val="000000"/>
        </w:rPr>
      </w:pPr>
    </w:p>
    <w:p w:rsidR="00376A17" w:rsidRDefault="00B658A1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 xml:space="preserve">Для очистки тканевых вертикальных жалюзи от пыли рекомендуется использовать сухую тряпку или пылесос с мягкой насадкой. Можно воспользоваться </w:t>
      </w:r>
      <w:proofErr w:type="spellStart"/>
      <w:r>
        <w:rPr>
          <w:color w:val="000000"/>
        </w:rPr>
        <w:t>феном</w:t>
      </w:r>
      <w:proofErr w:type="gramStart"/>
      <w:r>
        <w:rPr>
          <w:color w:val="000000"/>
        </w:rPr>
        <w:t>,д</w:t>
      </w:r>
      <w:proofErr w:type="gramEnd"/>
      <w:r>
        <w:rPr>
          <w:color w:val="000000"/>
        </w:rPr>
        <w:t>ля</w:t>
      </w:r>
      <w:proofErr w:type="spellEnd"/>
      <w:r>
        <w:rPr>
          <w:color w:val="000000"/>
        </w:rPr>
        <w:t xml:space="preserve"> удаления пыли потоком воздуха. Достаточно регулярно вытирать пыль с </w:t>
      </w:r>
      <w:proofErr w:type="gramStart"/>
      <w:r>
        <w:rPr>
          <w:color w:val="000000"/>
        </w:rPr>
        <w:t>ламелей</w:t>
      </w:r>
      <w:proofErr w:type="gramEnd"/>
      <w:r>
        <w:rPr>
          <w:color w:val="000000"/>
        </w:rPr>
        <w:t xml:space="preserve"> и они будут оставаться чистыми долгое время.</w:t>
      </w:r>
    </w:p>
    <w:p w:rsidR="00376A17" w:rsidRDefault="00B658A1">
      <w:pPr>
        <w:pStyle w:val="a6"/>
        <w:jc w:val="both"/>
        <w:rPr>
          <w:color w:val="000000"/>
        </w:rPr>
      </w:pPr>
      <w:r>
        <w:rPr>
          <w:color w:val="000000"/>
        </w:rPr>
        <w:t xml:space="preserve">При сильном загрязнении тканевые вертикальные жалюзи можно постирать. Но, стирка может привести к смыванию защитной пропитки ткани, поэтому жалюзи со временем начинают терять свои функции. Использовать для стирки тканевых вертикальных жалюзи стиральную машину не рекомендуется. Как показывает практика, машинная стирка негативно влияет на </w:t>
      </w:r>
      <w:proofErr w:type="spellStart"/>
      <w:proofErr w:type="gramStart"/>
      <w:r>
        <w:rPr>
          <w:color w:val="000000"/>
        </w:rPr>
        <w:t>ткань-ламели</w:t>
      </w:r>
      <w:proofErr w:type="spellEnd"/>
      <w:proofErr w:type="gramEnd"/>
      <w:r>
        <w:rPr>
          <w:color w:val="000000"/>
        </w:rPr>
        <w:t xml:space="preserve"> деформируются и приходят в негодность. Поэтому лучшим способом стирки тканевых вертикальных жалюзи является очистка с помощью мыльной воды. Для этого с ламелей снимают грузики и цепочку, затем снимают ламели с карниза и скручивают в рулончик. Снимать ламели с карниза можно только в развёрнутом виде, т. е. когда бегунок повёрнут перпендикулярно продольной оси карниза (как при монтаже). Опускают ламели в рулонах в мыльный раствор на некоторое время. Благодаря специальной пропитке грязь с лёгкостью отстаёт от ткани. Тереть жалюзи не рекомендуется. Когда ламели очистятся, их аккуратно промывают и дают стечь воде. После этого ламели вешают на карниз еще во влажном состоянии. Высыхая, ткань распрямляется под собственным весом и весом грузиков и жалюзи приобретают свой первоначальный вид. Стоит иметь в виду, что тканевые вертикальные жалюзи, в зависимости от материала, выдерживают не более одной - двух подобных стирок.</w:t>
      </w:r>
    </w:p>
    <w:p w:rsidR="00376A17" w:rsidRDefault="00B658A1">
      <w:pPr>
        <w:pStyle w:val="a6"/>
        <w:jc w:val="both"/>
        <w:rPr>
          <w:color w:val="000000"/>
        </w:rPr>
      </w:pPr>
      <w:r>
        <w:rPr>
          <w:color w:val="000000"/>
        </w:rPr>
        <w:t xml:space="preserve">Карниз можно протирать влажной тряпкой смоченной в мыльном растворе, затем насухо протереть для предотвращения разводов. </w:t>
      </w:r>
    </w:p>
    <w:p w:rsidR="00376A17" w:rsidRDefault="00B658A1">
      <w:pPr>
        <w:pStyle w:val="a6"/>
        <w:jc w:val="both"/>
        <w:rPr>
          <w:color w:val="000000"/>
        </w:rPr>
      </w:pPr>
      <w:r>
        <w:rPr>
          <w:color w:val="000000"/>
        </w:rPr>
        <w:t>Рекомендуем 1 раз в год смазывать направляющие карниза силиконовой смазкой.</w:t>
      </w:r>
    </w:p>
    <w:p w:rsidR="00376A17" w:rsidRDefault="00B658A1">
      <w:pPr>
        <w:pStyle w:val="a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Чистка пластиковых и алюминиевых вертикальных жалюзи.</w:t>
      </w:r>
    </w:p>
    <w:p w:rsidR="00376A17" w:rsidRDefault="00B658A1">
      <w:pPr>
        <w:pStyle w:val="a6"/>
        <w:jc w:val="both"/>
        <w:rPr>
          <w:color w:val="000000"/>
        </w:rPr>
      </w:pPr>
      <w:r>
        <w:rPr>
          <w:color w:val="000000"/>
        </w:rPr>
        <w:t>Пластиковые и алюминиевые вертикальные жалюзи не требуют специальных средств по уходу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ведь пластик отличается высокой влагостойкостью и простотой в уходе . Для их чистки достаточно будет регулярно мягкой тряпкой, или пылесосом очищать пыль с ламелей. Карниз, пластиковые и алюминиевые ламели допускается протирать сначала влажной тряпкой, смоченной в мыльном растворе (кроме ламелей с рисунком!), а затем сухой для предотвращения образования разводов. Для мытья можно использовать только холодную или теплую воду (не горячую!). </w:t>
      </w:r>
    </w:p>
    <w:p w:rsidR="00376A17" w:rsidRDefault="00B658A1">
      <w:pPr>
        <w:pStyle w:val="a6"/>
        <w:jc w:val="both"/>
        <w:rPr>
          <w:color w:val="000000"/>
        </w:rPr>
      </w:pPr>
      <w:r>
        <w:rPr>
          <w:color w:val="000000"/>
        </w:rPr>
        <w:t xml:space="preserve">Если ламели сильно загрязнены можно их </w:t>
      </w:r>
      <w:proofErr w:type="gramStart"/>
      <w:r>
        <w:rPr>
          <w:color w:val="000000"/>
        </w:rPr>
        <w:t>снять</w:t>
      </w:r>
      <w:proofErr w:type="gramEnd"/>
      <w:r>
        <w:rPr>
          <w:color w:val="000000"/>
        </w:rPr>
        <w:t xml:space="preserve">, положить в ванну с теплой мыльной водой, тщательно сполоснуть, протереть, и дать им просохнуть на открытом воздухе. При чистке металлические части карниза не должны взаимодействовать с влагой. В целом, глубокой чистки пластиковые и алюминиевые вертикальные жалюзи не требует. Ведь изделия из пластика и алюминия отличаются высокой практичностью и гигиеническими качествами. </w:t>
      </w:r>
    </w:p>
    <w:p w:rsidR="00376A17" w:rsidRDefault="00B658A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Руководство по эксплуатации горизонтальных жалюзи</w:t>
      </w:r>
    </w:p>
    <w:p w:rsidR="00376A17" w:rsidRDefault="00376A17">
      <w:pPr>
        <w:jc w:val="both"/>
        <w:rPr>
          <w:b/>
          <w:color w:val="000000"/>
        </w:rPr>
      </w:pPr>
    </w:p>
    <w:p w:rsidR="00376A17" w:rsidRDefault="00B658A1">
      <w:pPr>
        <w:numPr>
          <w:ilvl w:val="0"/>
          <w:numId w:val="2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Поворот полотна осуществляется путем поворота прута управления.</w:t>
      </w:r>
    </w:p>
    <w:p w:rsidR="00376A17" w:rsidRDefault="001C45A0">
      <w:pPr>
        <w:jc w:val="both"/>
        <w:rPr>
          <w:b/>
          <w:color w:val="000000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238125</wp:posOffset>
            </wp:positionV>
            <wp:extent cx="3427095" cy="1312545"/>
            <wp:effectExtent l="19050" t="0" r="1905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312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A17" w:rsidRDefault="00376A17">
      <w:pPr>
        <w:jc w:val="both"/>
        <w:rPr>
          <w:b/>
          <w:color w:val="000000"/>
        </w:rPr>
      </w:pPr>
    </w:p>
    <w:p w:rsidR="00376A17" w:rsidRDefault="00376A17">
      <w:pPr>
        <w:jc w:val="both"/>
        <w:rPr>
          <w:b/>
          <w:color w:val="000000"/>
        </w:rPr>
      </w:pPr>
    </w:p>
    <w:p w:rsidR="00376A17" w:rsidRDefault="00376A17">
      <w:pPr>
        <w:jc w:val="both"/>
        <w:rPr>
          <w:b/>
          <w:color w:val="000000"/>
        </w:rPr>
      </w:pPr>
    </w:p>
    <w:p w:rsidR="00376A17" w:rsidRDefault="00376A17">
      <w:pPr>
        <w:jc w:val="both"/>
        <w:rPr>
          <w:b/>
          <w:color w:val="000000"/>
        </w:rPr>
      </w:pPr>
    </w:p>
    <w:p w:rsidR="00376A17" w:rsidRDefault="00376A17">
      <w:pPr>
        <w:jc w:val="both"/>
        <w:rPr>
          <w:b/>
          <w:color w:val="000000"/>
        </w:rPr>
      </w:pPr>
    </w:p>
    <w:p w:rsidR="00376A17" w:rsidRDefault="00376A17">
      <w:pPr>
        <w:jc w:val="both"/>
        <w:rPr>
          <w:b/>
          <w:color w:val="000000"/>
        </w:rPr>
      </w:pPr>
    </w:p>
    <w:p w:rsidR="00376A17" w:rsidRDefault="00376A17">
      <w:pPr>
        <w:jc w:val="both"/>
        <w:rPr>
          <w:b/>
          <w:color w:val="000000"/>
        </w:rPr>
      </w:pPr>
    </w:p>
    <w:p w:rsidR="00376A17" w:rsidRDefault="00376A17">
      <w:pPr>
        <w:jc w:val="both"/>
        <w:rPr>
          <w:b/>
          <w:color w:val="000000"/>
        </w:rPr>
      </w:pPr>
    </w:p>
    <w:p w:rsidR="00376A17" w:rsidRDefault="00B658A1">
      <w:pPr>
        <w:pStyle w:val="a6"/>
        <w:numPr>
          <w:ilvl w:val="0"/>
          <w:numId w:val="3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Подъём и опускание полотна осуществляется при помощи веревки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Для поднятия жалюзи потяните за веревку вниз. Чтобы зафиксировать жалюзи на нужной высоте отведите верёвку от центра полотна и отпустите. Чтобы опустить жалюзи, отведите шнур управления к центру, освободив тем самым фиксатор веревки, и отпустите шнур, слегка его придерживая. Подъем и опускание необходимо производить при горизонтальном положении ламелей. Нижний карниз можно зафиксировать на любом уровне.</w:t>
      </w:r>
    </w:p>
    <w:p w:rsidR="00376A17" w:rsidRDefault="00B658A1">
      <w:pPr>
        <w:pStyle w:val="a6"/>
        <w:numPr>
          <w:ilvl w:val="0"/>
          <w:numId w:val="3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Горизонтальные жалюзи устанавливаются только внутри помещения с относительной влажностью воздуха до 70%.</w:t>
      </w:r>
    </w:p>
    <w:p w:rsidR="00376A17" w:rsidRDefault="00B658A1">
      <w:pPr>
        <w:pStyle w:val="a6"/>
        <w:numPr>
          <w:ilvl w:val="0"/>
          <w:numId w:val="3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Избегайте механического воздействия на полотно жалюзи. Ламели могут легко деформироваться.</w:t>
      </w:r>
    </w:p>
    <w:p w:rsidR="00376A17" w:rsidRDefault="00B658A1">
      <w:pPr>
        <w:pStyle w:val="a6"/>
        <w:numPr>
          <w:ilvl w:val="0"/>
          <w:numId w:val="3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Горизонтальные алюминиевые жалюзи не требуют специальных средств по уходу.  Допускается чистка полотна влажной тряпкой, а карниза </w:t>
      </w:r>
      <w:proofErr w:type="spellStart"/>
      <w:r>
        <w:rPr>
          <w:color w:val="000000"/>
        </w:rPr>
        <w:t>сухой</w:t>
      </w:r>
      <w:proofErr w:type="gramStart"/>
      <w:r>
        <w:rPr>
          <w:color w:val="000000"/>
        </w:rPr>
        <w:t>!Т</w:t>
      </w:r>
      <w:proofErr w:type="gramEnd"/>
      <w:r>
        <w:rPr>
          <w:color w:val="000000"/>
        </w:rPr>
        <w:t>акже</w:t>
      </w:r>
      <w:proofErr w:type="spellEnd"/>
      <w:r>
        <w:rPr>
          <w:color w:val="000000"/>
        </w:rPr>
        <w:t xml:space="preserve"> допустима чистка пылесосом с мягкой насадкой. </w:t>
      </w:r>
    </w:p>
    <w:p w:rsidR="00376A17" w:rsidRDefault="00B658A1">
      <w:pPr>
        <w:pStyle w:val="a6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ВНИМАНИЕ! Не допускается самостоятельный ремонт изделия покупателем.</w:t>
      </w:r>
    </w:p>
    <w:p w:rsidR="00376A17" w:rsidRDefault="00376A17">
      <w:pPr>
        <w:jc w:val="both"/>
        <w:rPr>
          <w:b/>
          <w:color w:val="000000"/>
        </w:rPr>
      </w:pPr>
    </w:p>
    <w:p w:rsidR="00376A17" w:rsidRDefault="00B658A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Руководство по эксплуатации рулонных штор</w:t>
      </w:r>
    </w:p>
    <w:p w:rsidR="00376A17" w:rsidRDefault="00376A17">
      <w:pPr>
        <w:pStyle w:val="a6"/>
        <w:tabs>
          <w:tab w:val="left" w:pos="707"/>
        </w:tabs>
        <w:jc w:val="both"/>
        <w:rPr>
          <w:color w:val="000000"/>
        </w:rPr>
      </w:pPr>
    </w:p>
    <w:p w:rsidR="00376A17" w:rsidRDefault="00B658A1">
      <w:pPr>
        <w:jc w:val="both"/>
        <w:rPr>
          <w:color w:val="000000"/>
        </w:rPr>
      </w:pPr>
      <w:r>
        <w:rPr>
          <w:color w:val="000000"/>
        </w:rPr>
        <w:t xml:space="preserve">• Подъем и опускание полотна ткани осуществляется с помощью цепочки управления. </w:t>
      </w:r>
    </w:p>
    <w:p w:rsidR="00376A17" w:rsidRDefault="00B658A1">
      <w:pPr>
        <w:jc w:val="both"/>
        <w:rPr>
          <w:color w:val="000000"/>
        </w:rPr>
      </w:pPr>
      <w:r>
        <w:rPr>
          <w:color w:val="000000"/>
        </w:rPr>
        <w:t xml:space="preserve">• Фиксация нижней планки на любом уровне происходит автоматически. </w:t>
      </w:r>
    </w:p>
    <w:p w:rsidR="00376A17" w:rsidRDefault="00B658A1">
      <w:pPr>
        <w:jc w:val="both"/>
        <w:rPr>
          <w:color w:val="000000"/>
        </w:rPr>
      </w:pPr>
      <w:r>
        <w:rPr>
          <w:color w:val="000000"/>
        </w:rPr>
        <w:t>• Если изделие оснащено пружиной, то подъем полотна осуществляется за счет пружины.  • Для опускания или поднятия полотна необходимо немного сдвинуть вниз ткань за ручку и двигать в нужном направлении. Если ручку отпустить, то полотно поднимется и автоматически остановится вверху. Для фиксации полотна на любом уровне</w:t>
      </w:r>
    </w:p>
    <w:p w:rsidR="00376A17" w:rsidRDefault="00B658A1">
      <w:pPr>
        <w:jc w:val="both"/>
        <w:rPr>
          <w:color w:val="000000"/>
        </w:rPr>
      </w:pPr>
      <w:r>
        <w:rPr>
          <w:color w:val="000000"/>
        </w:rPr>
        <w:t>немного сдвинуть ткань вниз и вверх.</w:t>
      </w:r>
    </w:p>
    <w:p w:rsidR="00376A17" w:rsidRDefault="00B658A1">
      <w:pPr>
        <w:jc w:val="both"/>
        <w:rPr>
          <w:color w:val="000000"/>
        </w:rPr>
      </w:pPr>
      <w:r>
        <w:rPr>
          <w:color w:val="000000"/>
        </w:rPr>
        <w:t>• Изделие предназначено для установки только внутри помещений с относительной влажностью воздуха не более 70%.</w:t>
      </w:r>
    </w:p>
    <w:p w:rsidR="00376A17" w:rsidRDefault="00B658A1">
      <w:pPr>
        <w:jc w:val="both"/>
        <w:rPr>
          <w:color w:val="000000"/>
        </w:rPr>
      </w:pPr>
      <w:r>
        <w:rPr>
          <w:color w:val="000000"/>
        </w:rPr>
        <w:t>• Необходимо избегать любого механического воздействия на полотно и другие комплектующие, а также попадания грязи на полотно ткани.</w:t>
      </w:r>
    </w:p>
    <w:p w:rsidR="00376A17" w:rsidRDefault="00B658A1">
      <w:pPr>
        <w:jc w:val="both"/>
        <w:rPr>
          <w:color w:val="000000"/>
        </w:rPr>
      </w:pPr>
      <w:r>
        <w:rPr>
          <w:color w:val="000000"/>
        </w:rPr>
        <w:t>• Допускается сухая чистка полотна ткани мягкой щеткой или пылесосом.</w:t>
      </w:r>
    </w:p>
    <w:p w:rsidR="00376A17" w:rsidRDefault="00B658A1">
      <w:pPr>
        <w:jc w:val="both"/>
        <w:rPr>
          <w:color w:val="000000"/>
        </w:rPr>
      </w:pPr>
      <w:r>
        <w:rPr>
          <w:color w:val="000000"/>
        </w:rPr>
        <w:t>• Не допускается резкий подъем и опускание полотна.</w:t>
      </w:r>
    </w:p>
    <w:p w:rsidR="00376A17" w:rsidRDefault="00B658A1">
      <w:pPr>
        <w:jc w:val="both"/>
        <w:rPr>
          <w:color w:val="000000"/>
        </w:rPr>
      </w:pPr>
      <w:r>
        <w:rPr>
          <w:color w:val="000000"/>
        </w:rPr>
        <w:t>• Не допускается опускать полотно ниже высоты изделия при оснащении его пружиной.</w:t>
      </w:r>
    </w:p>
    <w:p w:rsidR="00376A17" w:rsidRDefault="00B658A1">
      <w:pPr>
        <w:jc w:val="both"/>
        <w:rPr>
          <w:color w:val="000000"/>
        </w:rPr>
      </w:pPr>
      <w:r>
        <w:rPr>
          <w:color w:val="000000"/>
        </w:rPr>
        <w:t>• Не допускается самостоятельный ремонт изделия клиентом.</w:t>
      </w:r>
    </w:p>
    <w:p w:rsidR="00376A17" w:rsidRDefault="00B658A1">
      <w:pPr>
        <w:jc w:val="both"/>
        <w:rPr>
          <w:color w:val="000000"/>
        </w:rPr>
      </w:pPr>
      <w:r>
        <w:rPr>
          <w:color w:val="000000"/>
        </w:rPr>
        <w:t>• Не допускается эксплуатация изделия со снятыми или переустановленными на большую высоту ограничителями цепи.</w:t>
      </w:r>
    </w:p>
    <w:p w:rsidR="00376A17" w:rsidRDefault="00376A17">
      <w:pPr>
        <w:jc w:val="both"/>
        <w:rPr>
          <w:color w:val="000000"/>
        </w:rPr>
      </w:pPr>
    </w:p>
    <w:p w:rsidR="00376A17" w:rsidRDefault="00376A17">
      <w:pPr>
        <w:sectPr w:rsidR="00376A17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formProt w:val="0"/>
          <w:docGrid w:linePitch="360"/>
        </w:sectPr>
      </w:pPr>
    </w:p>
    <w:p w:rsidR="00376A17" w:rsidRDefault="00376A17">
      <w:pPr>
        <w:pStyle w:val="a6"/>
        <w:sectPr w:rsidR="00376A17">
          <w:footnotePr>
            <w:pos w:val="beneathText"/>
          </w:footnotePr>
          <w:type w:val="continuous"/>
          <w:pgSz w:w="11905" w:h="16837"/>
          <w:pgMar w:top="1134" w:right="850" w:bottom="1134" w:left="1701" w:header="1134" w:footer="1134" w:gutter="0"/>
          <w:cols w:space="720"/>
          <w:docGrid w:linePitch="360"/>
        </w:sectPr>
      </w:pPr>
    </w:p>
    <w:p w:rsidR="00B658A1" w:rsidRDefault="001C45A0">
      <w:pPr>
        <w:jc w:val="center"/>
        <w:rPr>
          <w:color w:val="000000"/>
        </w:rPr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939155" cy="7679690"/>
            <wp:effectExtent l="19050" t="0" r="4445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679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58A1" w:rsidSect="00376A17">
      <w:footnotePr>
        <w:pos w:val="beneathText"/>
      </w:footnotePr>
      <w:type w:val="continuous"/>
      <w:pgSz w:w="11905" w:h="16837"/>
      <w:pgMar w:top="1134" w:right="850" w:bottom="1134" w:left="1701" w:header="1134" w:footer="1134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C45A0"/>
    <w:rsid w:val="00064541"/>
    <w:rsid w:val="001C45A0"/>
    <w:rsid w:val="00310B38"/>
    <w:rsid w:val="00376A17"/>
    <w:rsid w:val="004445B9"/>
    <w:rsid w:val="004A1857"/>
    <w:rsid w:val="0050439E"/>
    <w:rsid w:val="00853742"/>
    <w:rsid w:val="0085555F"/>
    <w:rsid w:val="008F546D"/>
    <w:rsid w:val="00A90A3C"/>
    <w:rsid w:val="00A921E4"/>
    <w:rsid w:val="00AB0F15"/>
    <w:rsid w:val="00B547B5"/>
    <w:rsid w:val="00B658A1"/>
    <w:rsid w:val="00DD7C34"/>
    <w:rsid w:val="00F5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1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376A17"/>
    <w:rPr>
      <w:rFonts w:ascii="Symbol" w:hAnsi="Symbol"/>
    </w:rPr>
  </w:style>
  <w:style w:type="character" w:customStyle="1" w:styleId="WW8Num4z0">
    <w:name w:val="WW8Num4z0"/>
    <w:rsid w:val="00376A17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376A17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376A1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376A17"/>
  </w:style>
  <w:style w:type="character" w:customStyle="1" w:styleId="a3">
    <w:name w:val="Символ нумерации"/>
    <w:rsid w:val="00376A17"/>
  </w:style>
  <w:style w:type="character" w:customStyle="1" w:styleId="a4">
    <w:name w:val="Маркеры списка"/>
    <w:rsid w:val="00376A17"/>
    <w:rPr>
      <w:rFonts w:ascii="StarSymbol" w:eastAsia="StarSymbol" w:hAnsi="StarSymbol" w:cs="StarSymbol"/>
      <w:sz w:val="18"/>
      <w:szCs w:val="18"/>
    </w:rPr>
  </w:style>
  <w:style w:type="character" w:customStyle="1" w:styleId="2">
    <w:name w:val="Основной шрифт абзаца2"/>
    <w:rsid w:val="00376A17"/>
  </w:style>
  <w:style w:type="character" w:customStyle="1" w:styleId="1">
    <w:name w:val="Основной шрифт абзаца1"/>
    <w:rsid w:val="00376A17"/>
  </w:style>
  <w:style w:type="paragraph" w:customStyle="1" w:styleId="a5">
    <w:name w:val="Заголовок"/>
    <w:basedOn w:val="a"/>
    <w:next w:val="a6"/>
    <w:rsid w:val="00376A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376A17"/>
    <w:pPr>
      <w:spacing w:after="120"/>
    </w:pPr>
  </w:style>
  <w:style w:type="paragraph" w:styleId="a7">
    <w:name w:val="List"/>
    <w:basedOn w:val="a6"/>
    <w:semiHidden/>
    <w:rsid w:val="00376A17"/>
    <w:rPr>
      <w:rFonts w:ascii="Arial" w:hAnsi="Arial" w:cs="Tahoma"/>
    </w:rPr>
  </w:style>
  <w:style w:type="paragraph" w:customStyle="1" w:styleId="20">
    <w:name w:val="Название2"/>
    <w:basedOn w:val="a"/>
    <w:rsid w:val="00376A1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376A17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376A17"/>
  </w:style>
  <w:style w:type="paragraph" w:styleId="a9">
    <w:name w:val="Subtitle"/>
    <w:basedOn w:val="a5"/>
    <w:next w:val="a6"/>
    <w:qFormat/>
    <w:rsid w:val="00376A17"/>
    <w:pPr>
      <w:jc w:val="center"/>
    </w:pPr>
    <w:rPr>
      <w:i/>
      <w:iCs/>
    </w:rPr>
  </w:style>
  <w:style w:type="paragraph" w:customStyle="1" w:styleId="10">
    <w:name w:val="Название1"/>
    <w:basedOn w:val="a"/>
    <w:rsid w:val="00376A1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376A17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rsid w:val="00376A1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эксплуатации вертикальных жалюзи</vt:lpstr>
    </vt:vector>
  </TitlesOfParts>
  <Company>111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эксплуатации вертикальных жалюзи</dc:title>
  <dc:subject/>
  <dc:creator>Некто</dc:creator>
  <cp:keywords/>
  <cp:lastModifiedBy>1111</cp:lastModifiedBy>
  <cp:revision>2</cp:revision>
  <cp:lastPrinted>2015-09-24T06:03:00Z</cp:lastPrinted>
  <dcterms:created xsi:type="dcterms:W3CDTF">2016-01-13T14:27:00Z</dcterms:created>
  <dcterms:modified xsi:type="dcterms:W3CDTF">2016-01-13T14:27:00Z</dcterms:modified>
</cp:coreProperties>
</file>